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D5538E" w:rsidP="2A84B2C6" w:rsidRDefault="00D5538E" w14:paraId="672A6659" wp14:textId="34C045F9">
      <w:pPr>
        <w:jc w:val="center"/>
        <w:rPr>
          <w:b w:val="1"/>
          <w:bCs w:val="1"/>
          <w:sz w:val="24"/>
          <w:szCs w:val="24"/>
        </w:rPr>
      </w:pPr>
      <w:r w:rsidRPr="2A84B2C6" w:rsidR="2A84B2C6">
        <w:rPr>
          <w:b w:val="1"/>
          <w:bCs w:val="1"/>
          <w:sz w:val="24"/>
          <w:szCs w:val="24"/>
        </w:rPr>
        <w:t>Discharge Lumbar</w:t>
      </w:r>
    </w:p>
    <w:p w:rsidR="2A84B2C6" w:rsidP="2A84B2C6" w:rsidRDefault="2A84B2C6" w14:paraId="48DE3F1F" w14:textId="237239B1">
      <w:pPr>
        <w:spacing w:before="240" w:beforeAutospacing="off" w:after="240" w:afterAutospacing="off"/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DISCHARGE NOTE</w:t>
      </w:r>
    </w:p>
    <w:p w:rsidR="2A84B2C6" w:rsidP="2A84B2C6" w:rsidRDefault="2A84B2C6" w14:paraId="59E0B950" w14:textId="14A28AE1">
      <w:pPr>
        <w:spacing w:before="240" w:beforeAutospacing="off" w:after="240" w:afterAutospacing="off"/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ADMITTING PHYSICIAN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 Amit Bhandarkar, M.D.</w:t>
      </w:r>
    </w:p>
    <w:p w:rsidR="2A84B2C6" w:rsidP="2A84B2C6" w:rsidRDefault="2A84B2C6" w14:paraId="743E1D2E" w14:textId="24F381B3">
      <w:pPr>
        <w:spacing w:before="240" w:beforeAutospacing="off" w:after="240" w:afterAutospacing="off"/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PROVIDER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 Amit Bhandarkar, M.D., Prairie Spine and Pain Institute</w:t>
      </w:r>
    </w:p>
    <w:p w:rsidR="2A84B2C6" w:rsidP="2A84B2C6" w:rsidRDefault="2A84B2C6" w14:paraId="7F14B680" w14:textId="38B068DE">
      <w:pPr>
        <w:spacing w:before="240" w:beforeAutospacing="off" w:after="240" w:afterAutospacing="off"/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ADMISSION DATE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 [Insert Admission Date]</w:t>
      </w:r>
    </w:p>
    <w:p w:rsidR="2A84B2C6" w:rsidP="2A84B2C6" w:rsidRDefault="2A84B2C6" w14:paraId="51718755" w14:textId="4231D5C6">
      <w:pPr>
        <w:spacing w:before="240" w:beforeAutospacing="off" w:after="240" w:afterAutospacing="off"/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DISCHARGE DATE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 [Insert Discharge Date]</w:t>
      </w:r>
    </w:p>
    <w:p w:rsidR="2A84B2C6" w:rsidP="2A84B2C6" w:rsidRDefault="2A84B2C6" w14:paraId="26AB24FB" w14:textId="7C789DDB">
      <w:pPr>
        <w:spacing w:before="240" w:beforeAutospacing="off" w:after="240" w:afterAutospacing="off"/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OPERATIVE NOTES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</w:p>
    <w:p w:rsidR="2A84B2C6" w:rsidP="2A84B2C6" w:rsidRDefault="2A84B2C6" w14:paraId="000ED0B9" w14:textId="0460A1C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The patient underwent surgery for spondylolisthesis and associated issues, achieving wide decompression, discectomy, disc height restoration, bone grafting, and anterior instrumentation.</w:t>
      </w:r>
    </w:p>
    <w:p w:rsidR="2A84B2C6" w:rsidP="2A84B2C6" w:rsidRDefault="2A84B2C6" w14:paraId="6AACA177" w14:textId="6B0D223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Blood transfusion: None.</w:t>
      </w:r>
    </w:p>
    <w:p w:rsidR="2A84B2C6" w:rsidP="2A84B2C6" w:rsidRDefault="2A84B2C6" w14:paraId="77CD4246" w14:textId="387CD213">
      <w:pPr>
        <w:spacing w:before="240" w:beforeAutospacing="off" w:after="240" w:afterAutospacing="off"/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HISTORY OF PRESENT ILLNESS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</w:p>
    <w:p w:rsidR="2A84B2C6" w:rsidP="2A84B2C6" w:rsidRDefault="2A84B2C6" w14:paraId="160EAFF1" w14:textId="4907F97F">
      <w:pPr>
        <w:spacing w:before="240" w:beforeAutospacing="off" w:after="240" w:afterAutospacing="off"/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The patient has a long-standing history of low back pain and radicular symptoms. He has failed back surgery syndrome following two prior spine surgeries. Symptoms include predominantly left-sided radicular pain in the L3-L4 distribution and axial back pain due to spondylolisthesis at L3-L4. Conservative management failed to provide relief. The patient also has a history of poorly controlled diabetes.</w:t>
      </w:r>
    </w:p>
    <w:p w:rsidR="2A84B2C6" w:rsidP="2A84B2C6" w:rsidRDefault="2A84B2C6" w14:paraId="31A488C2" w14:textId="3C0BAE86">
      <w:pPr>
        <w:spacing w:before="240" w:beforeAutospacing="off" w:after="240" w:afterAutospacing="off"/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HOSPITAL COURSE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</w:p>
    <w:p w:rsidR="2A84B2C6" w:rsidP="2A84B2C6" w:rsidRDefault="2A84B2C6" w14:paraId="7ADA684A" w14:textId="46B728A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Surgery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 The patient underwent a successful procedure with minimal intraoperative bleeding and no complications. Postoperative objectives, including decompression and stabilization, were achieved.</w:t>
      </w:r>
    </w:p>
    <w:p w:rsidR="2A84B2C6" w:rsidP="2A84B2C6" w:rsidRDefault="2A84B2C6" w14:paraId="3718935F" w14:textId="1AA8770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PACU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 Pain managed effectively with morphine and fentanyl, reducing pain levels to a manageable range.</w:t>
      </w:r>
    </w:p>
    <w:p w:rsidR="2A84B2C6" w:rsidP="2A84B2C6" w:rsidRDefault="2A84B2C6" w14:paraId="055F857C" w14:textId="705BC9E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SCU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</w:p>
    <w:p w:rsidR="2A84B2C6" w:rsidP="2A84B2C6" w:rsidRDefault="2A84B2C6" w14:paraId="30E60258" w14:textId="4C4FE676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Pain management included morphine, hydrocodone, IV acetaminophen, and lidocaine patches.</w:t>
      </w:r>
    </w:p>
    <w:p w:rsidR="2A84B2C6" w:rsidP="2A84B2C6" w:rsidRDefault="2A84B2C6" w14:paraId="41EABEB1" w14:textId="7F2EE86E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Sequential compression devices were used for DVT prevention.</w:t>
      </w:r>
    </w:p>
    <w:p w:rsidR="2A84B2C6" w:rsidP="2A84B2C6" w:rsidRDefault="2A84B2C6" w14:paraId="6D612D68" w14:textId="4F1E1056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Antibiotics were administered for three doses, with no signs of infection.</w:t>
      </w:r>
    </w:p>
    <w:p w:rsidR="2A84B2C6" w:rsidP="2A84B2C6" w:rsidRDefault="2A84B2C6" w14:paraId="48C224C6" w14:textId="0A3AC137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Physical therapy initiated, focusing on gradual mobilization.</w:t>
      </w:r>
    </w:p>
    <w:p w:rsidR="2A84B2C6" w:rsidP="2A84B2C6" w:rsidRDefault="2A84B2C6" w14:paraId="65A9130A" w14:textId="1E78C301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Incentive spirometry and respiratory therapy provided.</w:t>
      </w:r>
    </w:p>
    <w:p w:rsidR="2A84B2C6" w:rsidP="2A84B2C6" w:rsidRDefault="2A84B2C6" w14:paraId="20FC4F17" w14:textId="586D49F8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Diet advanced from liquids to normal as tolerated.</w:t>
      </w:r>
    </w:p>
    <w:p w:rsidR="2A84B2C6" w:rsidP="2A84B2C6" w:rsidRDefault="2A84B2C6" w14:paraId="09E4116D" w14:textId="02CE9D1D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No urinary or respiratory complications.</w:t>
      </w:r>
    </w:p>
    <w:p w:rsidR="2A84B2C6" w:rsidP="2A84B2C6" w:rsidRDefault="2A84B2C6" w14:paraId="53FD898A" w14:textId="320D5859">
      <w:pPr>
        <w:spacing w:before="240" w:beforeAutospacing="off" w:after="240" w:afterAutospacing="off"/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EXAMINATION AT DISCHARGE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</w:p>
    <w:p w:rsidR="2A84B2C6" w:rsidP="2A84B2C6" w:rsidRDefault="2A84B2C6" w14:paraId="5CAA9554" w14:textId="03BB83D1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Vitals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 Stable, no fever.</w:t>
      </w:r>
    </w:p>
    <w:p w:rsidR="2A84B2C6" w:rsidP="2A84B2C6" w:rsidRDefault="2A84B2C6" w14:paraId="3990E54A" w14:textId="17CBB72B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Physical Examination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</w:p>
    <w:p w:rsidR="2A84B2C6" w:rsidP="2A84B2C6" w:rsidRDefault="2A84B2C6" w14:paraId="450F7A83" w14:textId="0B999C52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HEENT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 Oral membranes moist, PERRLA, EOMI, no nystagmus.</w:t>
      </w:r>
    </w:p>
    <w:p w:rsidR="2A84B2C6" w:rsidP="2A84B2C6" w:rsidRDefault="2A84B2C6" w14:paraId="479FC927" w14:textId="3E62C122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Neck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 Supple.</w:t>
      </w:r>
    </w:p>
    <w:p w:rsidR="2A84B2C6" w:rsidP="2A84B2C6" w:rsidRDefault="2A84B2C6" w14:paraId="2CE3BA4B" w14:textId="47B8DDD5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CV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 Regular rate and rhythm, no murmurs, gallops, or rubs.</w:t>
      </w:r>
    </w:p>
    <w:p w:rsidR="2A84B2C6" w:rsidP="2A84B2C6" w:rsidRDefault="2A84B2C6" w14:paraId="00F30B37" w14:textId="038AA7A9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Resp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 Clear to auscultation bilaterally.</w:t>
      </w:r>
    </w:p>
    <w:p w:rsidR="2A84B2C6" w:rsidP="2A84B2C6" w:rsidRDefault="2A84B2C6" w14:paraId="5B3C2C9F" w14:textId="2D590758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Abd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 Soft, non-tender, non-distended.</w:t>
      </w:r>
    </w:p>
    <w:p w:rsidR="2A84B2C6" w:rsidP="2A84B2C6" w:rsidRDefault="2A84B2C6" w14:paraId="5CF8382C" w14:textId="6B99CF14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Pain and Function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 Operative site pain reported as burning with occasional spasms. Left leg pain significantly improved. No fever, inflammation, or infection noted. Neurologically intact.</w:t>
      </w:r>
    </w:p>
    <w:p w:rsidR="2A84B2C6" w:rsidP="2A84B2C6" w:rsidRDefault="2A84B2C6" w14:paraId="78D358B2" w14:textId="4829ABD6">
      <w:pPr>
        <w:spacing w:before="240" w:beforeAutospacing="off" w:after="240" w:afterAutospacing="off"/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DISCHARGE MEDICATIONS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</w:p>
    <w:p w:rsidR="2A84B2C6" w:rsidP="2A84B2C6" w:rsidRDefault="2A84B2C6" w14:paraId="4D9AC10F" w14:textId="4E80F4B4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Norco 7.5 mg orally every 4-6 hours as needed for severe pain (gradual weaning encouraged).</w:t>
      </w:r>
    </w:p>
    <w:p w:rsidR="2A84B2C6" w:rsidP="2A84B2C6" w:rsidRDefault="2A84B2C6" w14:paraId="3B06ABF9" w14:textId="69DD9313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Lidoderm patches for localized pain relief.</w:t>
      </w:r>
    </w:p>
    <w:p w:rsidR="2A84B2C6" w:rsidP="2A84B2C6" w:rsidRDefault="2A84B2C6" w14:paraId="49CB1BD4" w14:textId="15DC85A9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Tramadol 50 mg (2 tablets every 2 hours as needed for pain).</w:t>
      </w:r>
    </w:p>
    <w:p w:rsidR="2A84B2C6" w:rsidP="2A84B2C6" w:rsidRDefault="2A84B2C6" w14:paraId="6B3514BA" w14:textId="377EAF99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Gabapentin 300 mg three times daily.</w:t>
      </w:r>
    </w:p>
    <w:p w:rsidR="2A84B2C6" w:rsidP="2A84B2C6" w:rsidRDefault="2A84B2C6" w14:paraId="38349340" w14:textId="1F0880D0">
      <w:pPr>
        <w:spacing w:before="240" w:beforeAutospacing="off" w:after="240" w:afterAutospacing="off"/>
      </w:pPr>
      <w:r w:rsidRPr="2A84B2C6" w:rsidR="2A84B2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DISCHARGE INSTRUCTIONS</w:t>
      </w: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</w:p>
    <w:p w:rsidR="2A84B2C6" w:rsidP="2A84B2C6" w:rsidRDefault="2A84B2C6" w14:paraId="53F40629" w14:textId="26426017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Follow prescribed pain management protocol, including gradual weaning from medications. Call the office if pain increases or changes.</w:t>
      </w:r>
    </w:p>
    <w:p w:rsidR="2A84B2C6" w:rsidP="2A84B2C6" w:rsidRDefault="2A84B2C6" w14:paraId="0990C258" w14:textId="31F9A1B4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Maintain a normal diet as tolerated.</w:t>
      </w:r>
    </w:p>
    <w:p w:rsidR="2A84B2C6" w:rsidP="2A84B2C6" w:rsidRDefault="2A84B2C6" w14:paraId="13EE6BA3" w14:textId="551F0DE0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Keep dressings in place for five days and remove the superficial layer afterward. Avoid wetting dressings.</w:t>
      </w:r>
    </w:p>
    <w:p w:rsidR="2A84B2C6" w:rsidP="2A84B2C6" w:rsidRDefault="2A84B2C6" w14:paraId="5E6D6A68" w14:textId="09182EEA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Schedule a follow-up appointment in two weeks.</w:t>
      </w:r>
    </w:p>
    <w:p w:rsidR="2A84B2C6" w:rsidP="2A84B2C6" w:rsidRDefault="2A84B2C6" w14:paraId="6C8D1853" w14:textId="658195EC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Resume all home medications. Medical reconciliation has been sent to the primary care provider.</w:t>
      </w:r>
    </w:p>
    <w:p w:rsidR="2A84B2C6" w:rsidP="2A84B2C6" w:rsidRDefault="2A84B2C6" w14:paraId="386A23A3" w14:textId="1595073D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Engage in normal activities of daily living, avoiding lifting, bending, twisting, or prolonged sitting (&gt;30 minutes). Use an abdominal brace for comfort.</w:t>
      </w:r>
    </w:p>
    <w:p w:rsidR="2A84B2C6" w:rsidP="2A84B2C6" w:rsidRDefault="2A84B2C6" w14:paraId="17F57999" w14:textId="00873E68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Continue physical therapy, starting two weeks after discharge.</w:t>
      </w:r>
    </w:p>
    <w:p w:rsidR="2A84B2C6" w:rsidP="2A84B2C6" w:rsidRDefault="2A84B2C6" w14:paraId="521B600F" w14:textId="6C9C25E2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Follow hospitalist recommendations for managing hypertension, diabetes, hypothyroidism, and other conditions.</w:t>
      </w:r>
    </w:p>
    <w:p w:rsidR="2A84B2C6" w:rsidP="2A84B2C6" w:rsidRDefault="2A84B2C6" w14:paraId="2A8FF613" w14:textId="5C0F7A6F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Contact the office for any signs of dressing discharge or soakage.</w:t>
      </w:r>
    </w:p>
    <w:p w:rsidR="2A84B2C6" w:rsidP="2A84B2C6" w:rsidRDefault="2A84B2C6" w14:paraId="3DB2FD6D" w14:textId="2E721057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Practice strict blood sugar control and avoid smoking.</w:t>
      </w:r>
    </w:p>
    <w:p w:rsidR="2A84B2C6" w:rsidP="2A84B2C6" w:rsidRDefault="2A84B2C6" w14:paraId="741C972A" w14:textId="227BE08A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Continue chest physical therapy and breathing exercises at home.</w:t>
      </w:r>
    </w:p>
    <w:p w:rsidR="2A84B2C6" w:rsidP="2A84B2C6" w:rsidRDefault="2A84B2C6" w14:paraId="7BF0ABBF" w14:textId="5C70347A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84B2C6" w:rsidR="2A84B2C6">
        <w:rPr>
          <w:rFonts w:ascii="Calibri" w:hAnsi="Calibri" w:eastAsia="Calibri" w:cs="Calibri"/>
          <w:noProof w:val="0"/>
          <w:sz w:val="22"/>
          <w:szCs w:val="22"/>
          <w:lang w:val="en-US"/>
        </w:rPr>
        <w:t>Contact Prairie Spine with any concerns using the provided phone number.</w:t>
      </w:r>
    </w:p>
    <w:p w:rsidR="2A84B2C6" w:rsidP="2A84B2C6" w:rsidRDefault="2A84B2C6" w14:paraId="21848FD9" w14:textId="073FE42C">
      <w:pPr>
        <w:pStyle w:val="Normal"/>
      </w:pPr>
    </w:p>
    <w:p xmlns:wp14="http://schemas.microsoft.com/office/word/2010/wordml" w:rsidRPr="00D5538E" w:rsidR="0057697B" w:rsidP="0057697B" w:rsidRDefault="0057697B" w14:paraId="0A37501D" wp14:textId="77777777"/>
    <w:sectPr w:rsidRPr="00D5538E" w:rsidR="0057697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5df0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92567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4b09b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5d7f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54180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8E"/>
    <w:rsid w:val="00330C1A"/>
    <w:rsid w:val="00572770"/>
    <w:rsid w:val="0057697B"/>
    <w:rsid w:val="00747262"/>
    <w:rsid w:val="007731C8"/>
    <w:rsid w:val="00816C8B"/>
    <w:rsid w:val="009B1832"/>
    <w:rsid w:val="00D23442"/>
    <w:rsid w:val="00D5538E"/>
    <w:rsid w:val="00D610F5"/>
    <w:rsid w:val="00EE1AD6"/>
    <w:rsid w:val="2A84B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6C4B"/>
  <w15:docId w15:val="{C0C8442B-EB1B-4E38-889C-6B5B2C32A5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numbering.xml" Id="R6e4d8a2d59904c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Leah Harrell</dc:creator>
  <lastModifiedBy>M Naik</lastModifiedBy>
  <revision>3</revision>
  <dcterms:created xsi:type="dcterms:W3CDTF">2018-11-29T19:10:00.0000000Z</dcterms:created>
  <dcterms:modified xsi:type="dcterms:W3CDTF">2025-01-06T00:04:12.8942885Z</dcterms:modified>
</coreProperties>
</file>