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F0834" w:rsidR="00AF0834" w:rsidP="00AF0834" w:rsidRDefault="00AF0834" w14:paraId="7CA1E554" w14:textId="18EBA4A4">
      <w:pPr>
        <w:pStyle w:val="Heading1"/>
        <w:jc w:val="center"/>
        <w:rPr>
          <w:rFonts w:ascii="Times New Roman" w:hAnsi="Times New Roman" w:eastAsia="Times New Roman" w:cs="Times New Roman"/>
        </w:rPr>
      </w:pPr>
      <w:r w:rsidRPr="44FD4546" w:rsidR="44FD4546">
        <w:rPr>
          <w:rFonts w:eastAsia="Times New Roman"/>
        </w:rPr>
        <w:t xml:space="preserve">Cervical </w:t>
      </w:r>
      <w:r w:rsidRPr="44FD4546" w:rsidR="44FD4546">
        <w:rPr>
          <w:rFonts w:eastAsia="Times New Roman"/>
        </w:rPr>
        <w:t>Facet Joint</w:t>
      </w:r>
      <w:r w:rsidRPr="44FD4546" w:rsidR="44FD4546">
        <w:rPr>
          <w:rFonts w:eastAsia="Times New Roman"/>
        </w:rPr>
        <w:t xml:space="preserve"> Injection.</w:t>
      </w:r>
    </w:p>
    <w:p w:rsidR="44FD4546" w:rsidP="44FD4546" w:rsidRDefault="44FD4546" w14:paraId="23B632EA" w14:textId="6A13EBEB">
      <w:pPr>
        <w:spacing w:before="240" w:beforeAutospacing="off" w:after="240" w:afterAutospacing="off"/>
      </w:pPr>
      <w:r w:rsidRPr="44FD4546" w:rsidR="44FD4546">
        <w:rPr>
          <w:rFonts w:ascii="Arial" w:hAnsi="Arial" w:eastAsia="Arial" w:cs="Arial"/>
          <w:b w:val="1"/>
          <w:bCs w:val="1"/>
          <w:noProof w:val="0"/>
          <w:sz w:val="22"/>
          <w:szCs w:val="22"/>
          <w:lang w:val="en-US"/>
        </w:rPr>
        <w:t>NAME:</w:t>
      </w:r>
    </w:p>
    <w:p w:rsidR="44FD4546" w:rsidP="44FD4546" w:rsidRDefault="44FD4546" w14:paraId="08AD986E" w14:textId="03CE45FE">
      <w:pPr>
        <w:spacing w:before="240" w:beforeAutospacing="off" w:after="240" w:afterAutospacing="off"/>
      </w:pPr>
      <w:r w:rsidRPr="44FD4546" w:rsidR="44FD4546">
        <w:rPr>
          <w:rFonts w:ascii="Arial" w:hAnsi="Arial" w:eastAsia="Arial" w:cs="Arial"/>
          <w:b w:val="1"/>
          <w:bCs w:val="1"/>
          <w:noProof w:val="0"/>
          <w:sz w:val="22"/>
          <w:szCs w:val="22"/>
          <w:lang w:val="en-US"/>
        </w:rPr>
        <w:t>MRN:</w:t>
      </w:r>
    </w:p>
    <w:p w:rsidR="44FD4546" w:rsidP="44FD4546" w:rsidRDefault="44FD4546" w14:paraId="53226000" w14:textId="014D4F87">
      <w:pPr>
        <w:spacing w:before="240" w:beforeAutospacing="off" w:after="240" w:afterAutospacing="off"/>
      </w:pPr>
      <w:r w:rsidRPr="44FD4546" w:rsidR="44FD4546">
        <w:rPr>
          <w:rFonts w:ascii="Arial" w:hAnsi="Arial" w:eastAsia="Arial" w:cs="Arial"/>
          <w:b w:val="1"/>
          <w:bCs w:val="1"/>
          <w:noProof w:val="0"/>
          <w:sz w:val="22"/>
          <w:szCs w:val="22"/>
          <w:lang w:val="en-US"/>
        </w:rPr>
        <w:t>DATE:</w:t>
      </w:r>
    </w:p>
    <w:p w:rsidR="44FD4546" w:rsidP="44FD4546" w:rsidRDefault="44FD4546" w14:paraId="710D9415" w14:textId="1E7B29DF">
      <w:pPr>
        <w:spacing w:before="240" w:beforeAutospacing="off" w:after="240" w:afterAutospacing="off"/>
      </w:pPr>
      <w:r w:rsidRPr="44FD4546" w:rsidR="44FD4546">
        <w:rPr>
          <w:rFonts w:ascii="Arial" w:hAnsi="Arial" w:eastAsia="Arial" w:cs="Arial"/>
          <w:b w:val="1"/>
          <w:bCs w:val="1"/>
          <w:noProof w:val="0"/>
          <w:sz w:val="22"/>
          <w:szCs w:val="22"/>
          <w:lang w:val="en-US"/>
        </w:rPr>
        <w:t>ALLERGY:</w:t>
      </w:r>
    </w:p>
    <w:p w:rsidR="44FD4546" w:rsidP="44FD4546" w:rsidRDefault="44FD4546" w14:paraId="30455085" w14:textId="7C3E9224">
      <w:pPr>
        <w:spacing w:before="240" w:beforeAutospacing="off" w:after="240" w:afterAutospacing="off"/>
      </w:pPr>
      <w:r w:rsidRPr="44FD4546" w:rsidR="44FD4546">
        <w:rPr>
          <w:rFonts w:ascii="Arial" w:hAnsi="Arial" w:eastAsia="Arial" w:cs="Arial"/>
          <w:b w:val="1"/>
          <w:bCs w:val="1"/>
          <w:noProof w:val="0"/>
          <w:sz w:val="22"/>
          <w:szCs w:val="22"/>
          <w:lang w:val="en-US"/>
        </w:rPr>
        <w:t>OPERATIVE PROCEDURE:</w:t>
      </w:r>
    </w:p>
    <w:p w:rsidR="44FD4546" w:rsidP="44FD4546" w:rsidRDefault="44FD4546" w14:paraId="7DCB4D4E" w14:textId="04ED4972">
      <w:pPr>
        <w:spacing w:before="240" w:beforeAutospacing="off" w:after="240" w:afterAutospacing="off"/>
      </w:pPr>
      <w:r w:rsidRPr="44FD4546" w:rsidR="44FD4546">
        <w:rPr>
          <w:rFonts w:ascii="Arial" w:hAnsi="Arial" w:eastAsia="Arial" w:cs="Arial"/>
          <w:b w:val="1"/>
          <w:bCs w:val="1"/>
          <w:noProof w:val="0"/>
          <w:sz w:val="22"/>
          <w:szCs w:val="22"/>
          <w:lang w:val="en-US"/>
        </w:rPr>
        <w:t>PREOPERATIVE DIAGNOSIS:</w:t>
      </w:r>
    </w:p>
    <w:p w:rsidR="44FD4546" w:rsidP="44FD4546" w:rsidRDefault="44FD4546" w14:paraId="4A64C2C9" w14:textId="21A52C6C">
      <w:pPr>
        <w:spacing w:before="240" w:beforeAutospacing="off" w:after="240" w:afterAutospacing="off"/>
      </w:pPr>
      <w:r w:rsidRPr="44FD4546" w:rsidR="44FD4546">
        <w:rPr>
          <w:rFonts w:ascii="Arial" w:hAnsi="Arial" w:eastAsia="Arial" w:cs="Arial"/>
          <w:b w:val="1"/>
          <w:bCs w:val="1"/>
          <w:noProof w:val="0"/>
          <w:sz w:val="22"/>
          <w:szCs w:val="22"/>
          <w:lang w:val="en-US"/>
        </w:rPr>
        <w:t>POSTOPERATIVE DIAGNOSIS:</w:t>
      </w:r>
    </w:p>
    <w:p w:rsidR="44FD4546" w:rsidP="44FD4546" w:rsidRDefault="44FD4546" w14:paraId="44A135F4" w14:textId="64B203C4">
      <w:pPr>
        <w:spacing w:before="240" w:beforeAutospacing="off" w:after="240" w:afterAutospacing="off"/>
      </w:pPr>
      <w:r w:rsidRPr="44FD4546" w:rsidR="44FD4546">
        <w:rPr>
          <w:rFonts w:ascii="Arial" w:hAnsi="Arial" w:eastAsia="Arial" w:cs="Arial"/>
          <w:b w:val="1"/>
          <w:bCs w:val="1"/>
          <w:noProof w:val="0"/>
          <w:sz w:val="22"/>
          <w:szCs w:val="22"/>
          <w:lang w:val="en-US"/>
        </w:rPr>
        <w:t>PROCEDURES:</w:t>
      </w:r>
    </w:p>
    <w:p w:rsidR="44FD4546" w:rsidP="44FD4546" w:rsidRDefault="44FD4546" w14:paraId="03D34F87" w14:textId="3B9259BA">
      <w:pPr>
        <w:pStyle w:val="ListParagraph"/>
        <w:numPr>
          <w:ilvl w:val="0"/>
          <w:numId w:val="1"/>
        </w:numPr>
        <w:spacing w:before="0" w:beforeAutospacing="off" w:after="0" w:afterAutospacing="off"/>
        <w:rPr/>
      </w:pPr>
    </w:p>
    <w:p w:rsidR="44FD4546" w:rsidP="44FD4546" w:rsidRDefault="44FD4546" w14:paraId="0F30289E" w14:textId="1797041A">
      <w:pPr>
        <w:spacing w:before="240" w:beforeAutospacing="off" w:after="240" w:afterAutospacing="off"/>
      </w:pPr>
      <w:r w:rsidRPr="44FD4546" w:rsidR="44FD4546">
        <w:rPr>
          <w:rFonts w:ascii="Arial" w:hAnsi="Arial" w:eastAsia="Arial" w:cs="Arial"/>
          <w:b w:val="1"/>
          <w:bCs w:val="1"/>
          <w:noProof w:val="0"/>
          <w:sz w:val="22"/>
          <w:szCs w:val="22"/>
          <w:lang w:val="en-US"/>
        </w:rPr>
        <w:t>ASSISTANT:</w:t>
      </w:r>
    </w:p>
    <w:p w:rsidR="44FD4546" w:rsidP="44FD4546" w:rsidRDefault="44FD4546" w14:paraId="595FC37E" w14:textId="68950D11">
      <w:pPr>
        <w:spacing w:before="240" w:beforeAutospacing="off" w:after="240" w:afterAutospacing="off"/>
      </w:pPr>
      <w:r w:rsidRPr="44FD4546" w:rsidR="44FD4546">
        <w:rPr>
          <w:rFonts w:ascii="Arial" w:hAnsi="Arial" w:eastAsia="Arial" w:cs="Arial"/>
          <w:noProof w:val="0"/>
          <w:sz w:val="22"/>
          <w:szCs w:val="22"/>
          <w:lang w:val="en-US"/>
        </w:rPr>
        <w:t>None</w:t>
      </w:r>
    </w:p>
    <w:p w:rsidR="44FD4546" w:rsidP="44FD4546" w:rsidRDefault="44FD4546" w14:paraId="6D300D20" w14:textId="0DF841BC">
      <w:pPr>
        <w:spacing w:before="240" w:beforeAutospacing="off" w:after="240" w:afterAutospacing="off"/>
      </w:pPr>
      <w:r w:rsidRPr="44FD4546" w:rsidR="44FD4546">
        <w:rPr>
          <w:rFonts w:ascii="Arial" w:hAnsi="Arial" w:eastAsia="Arial" w:cs="Arial"/>
          <w:b w:val="1"/>
          <w:bCs w:val="1"/>
          <w:noProof w:val="0"/>
          <w:sz w:val="22"/>
          <w:szCs w:val="22"/>
          <w:lang w:val="en-US"/>
        </w:rPr>
        <w:t>COMPLICATIONS:</w:t>
      </w:r>
    </w:p>
    <w:p w:rsidR="44FD4546" w:rsidP="44FD4546" w:rsidRDefault="44FD4546" w14:paraId="4C37C49D" w14:textId="2066E713">
      <w:pPr>
        <w:spacing w:before="240" w:beforeAutospacing="off" w:after="240" w:afterAutospacing="off"/>
      </w:pPr>
      <w:r w:rsidRPr="44FD4546" w:rsidR="44FD4546">
        <w:rPr>
          <w:rFonts w:ascii="Arial" w:hAnsi="Arial" w:eastAsia="Arial" w:cs="Arial"/>
          <w:noProof w:val="0"/>
          <w:sz w:val="22"/>
          <w:szCs w:val="22"/>
          <w:lang w:val="en-US"/>
        </w:rPr>
        <w:t>None</w:t>
      </w:r>
    </w:p>
    <w:p w:rsidR="44FD4546" w:rsidP="44FD4546" w:rsidRDefault="44FD4546" w14:paraId="59D91C9A" w14:textId="2FE2FE16">
      <w:pPr>
        <w:spacing w:before="240" w:beforeAutospacing="off" w:after="240" w:afterAutospacing="off"/>
      </w:pPr>
      <w:r w:rsidRPr="44FD4546" w:rsidR="44FD4546">
        <w:rPr>
          <w:rFonts w:ascii="Arial" w:hAnsi="Arial" w:eastAsia="Arial" w:cs="Arial"/>
          <w:b w:val="1"/>
          <w:bCs w:val="1"/>
          <w:noProof w:val="0"/>
          <w:sz w:val="22"/>
          <w:szCs w:val="22"/>
          <w:lang w:val="en-US"/>
        </w:rPr>
        <w:t>SPECIMEN:</w:t>
      </w:r>
    </w:p>
    <w:p w:rsidR="44FD4546" w:rsidP="44FD4546" w:rsidRDefault="44FD4546" w14:paraId="2FD66DC9" w14:textId="1EA2B868">
      <w:pPr>
        <w:spacing w:before="240" w:beforeAutospacing="off" w:after="240" w:afterAutospacing="off"/>
      </w:pPr>
      <w:r w:rsidRPr="44FD4546" w:rsidR="44FD4546">
        <w:rPr>
          <w:rFonts w:ascii="Arial" w:hAnsi="Arial" w:eastAsia="Arial" w:cs="Arial"/>
          <w:noProof w:val="0"/>
          <w:sz w:val="22"/>
          <w:szCs w:val="22"/>
          <w:lang w:val="en-US"/>
        </w:rPr>
        <w:t>None</w:t>
      </w:r>
    </w:p>
    <w:p w:rsidR="44FD4546" w:rsidP="44FD4546" w:rsidRDefault="44FD4546" w14:paraId="5B3A2A24" w14:textId="54ABB36D">
      <w:pPr>
        <w:spacing w:before="240" w:beforeAutospacing="off" w:after="240" w:afterAutospacing="off"/>
      </w:pPr>
      <w:r w:rsidRPr="44FD4546" w:rsidR="44FD4546">
        <w:rPr>
          <w:rFonts w:ascii="Arial" w:hAnsi="Arial" w:eastAsia="Arial" w:cs="Arial"/>
          <w:b w:val="1"/>
          <w:bCs w:val="1"/>
          <w:noProof w:val="0"/>
          <w:sz w:val="22"/>
          <w:szCs w:val="22"/>
          <w:lang w:val="en-US"/>
        </w:rPr>
        <w:t>ESTIMATED BLOOD LOSS:</w:t>
      </w:r>
    </w:p>
    <w:p w:rsidR="44FD4546" w:rsidP="44FD4546" w:rsidRDefault="44FD4546" w14:paraId="5974AF23" w14:textId="5ED6C65E">
      <w:pPr>
        <w:spacing w:before="240" w:beforeAutospacing="off" w:after="240" w:afterAutospacing="off"/>
      </w:pPr>
      <w:r w:rsidRPr="44FD4546" w:rsidR="44FD4546">
        <w:rPr>
          <w:rFonts w:ascii="Arial" w:hAnsi="Arial" w:eastAsia="Arial" w:cs="Arial"/>
          <w:noProof w:val="0"/>
          <w:sz w:val="22"/>
          <w:szCs w:val="22"/>
          <w:lang w:val="en-US"/>
        </w:rPr>
        <w:t>Scant</w:t>
      </w:r>
    </w:p>
    <w:p w:rsidR="44FD4546" w:rsidP="44FD4546" w:rsidRDefault="44FD4546" w14:paraId="5D39E771" w14:textId="71402E39">
      <w:pPr>
        <w:spacing w:before="240" w:beforeAutospacing="off" w:after="240" w:afterAutospacing="off"/>
      </w:pPr>
      <w:r w:rsidRPr="44FD4546" w:rsidR="44FD4546">
        <w:rPr>
          <w:rFonts w:ascii="Arial" w:hAnsi="Arial" w:eastAsia="Arial" w:cs="Arial"/>
          <w:b w:val="1"/>
          <w:bCs w:val="1"/>
          <w:noProof w:val="0"/>
          <w:sz w:val="22"/>
          <w:szCs w:val="22"/>
          <w:lang w:val="en-US"/>
        </w:rPr>
        <w:t>PREOPERATIVE PAIN LEVEL:</w:t>
      </w:r>
    </w:p>
    <w:p w:rsidR="44FD4546" w:rsidRDefault="44FD4546" w14:paraId="4FF0E6A6" w14:textId="3319791B"/>
    <w:p w:rsidR="44FD4546" w:rsidP="44FD4546" w:rsidRDefault="44FD4546" w14:paraId="43BFA5FB" w14:textId="577DB8C3">
      <w:pPr>
        <w:spacing w:before="240" w:beforeAutospacing="off" w:after="240" w:afterAutospacing="off"/>
      </w:pPr>
      <w:r w:rsidRPr="44FD4546" w:rsidR="44FD4546">
        <w:rPr>
          <w:rFonts w:ascii="Arial" w:hAnsi="Arial" w:eastAsia="Arial" w:cs="Arial"/>
          <w:b w:val="1"/>
          <w:bCs w:val="1"/>
          <w:noProof w:val="0"/>
          <w:sz w:val="22"/>
          <w:szCs w:val="22"/>
          <w:lang w:val="en-US"/>
        </w:rPr>
        <w:t>POSTOPERATIVE PAIN LEVEL:</w:t>
      </w:r>
    </w:p>
    <w:p w:rsidR="44FD4546" w:rsidRDefault="44FD4546" w14:paraId="2DD88164" w14:textId="066425FA"/>
    <w:p w:rsidR="44FD4546" w:rsidP="44FD4546" w:rsidRDefault="44FD4546" w14:paraId="45115C08" w14:textId="7C0A0AC9">
      <w:pPr>
        <w:spacing w:before="240" w:beforeAutospacing="off" w:after="240" w:afterAutospacing="off"/>
      </w:pPr>
      <w:r w:rsidRPr="44FD4546" w:rsidR="44FD4546">
        <w:rPr>
          <w:rFonts w:ascii="Arial" w:hAnsi="Arial" w:eastAsia="Arial" w:cs="Arial"/>
          <w:b w:val="1"/>
          <w:bCs w:val="1"/>
          <w:noProof w:val="0"/>
          <w:sz w:val="22"/>
          <w:szCs w:val="22"/>
          <w:lang w:val="en-US"/>
        </w:rPr>
        <w:t>RATIONALE:</w:t>
      </w:r>
    </w:p>
    <w:p w:rsidR="44FD4546" w:rsidRDefault="44FD4546" w14:paraId="2251354E" w14:textId="2B0DE6EB"/>
    <w:p w:rsidR="44FD4546" w:rsidRDefault="44FD4546" w14:paraId="628FF99D" w14:textId="3C5681B4"/>
    <w:p w:rsidR="44FD4546" w:rsidP="44FD4546" w:rsidRDefault="44FD4546" w14:paraId="044EA976" w14:textId="5CCFBCCD">
      <w:pPr>
        <w:pStyle w:val="Heading3"/>
        <w:spacing w:before="281" w:beforeAutospacing="off" w:after="281" w:afterAutospacing="off"/>
      </w:pPr>
      <w:r w:rsidRPr="44FD4546" w:rsidR="44FD4546">
        <w:rPr>
          <w:rFonts w:ascii="Arial" w:hAnsi="Arial" w:eastAsia="Arial" w:cs="Arial"/>
          <w:b w:val="1"/>
          <w:bCs w:val="1"/>
          <w:noProof w:val="0"/>
          <w:sz w:val="28"/>
          <w:szCs w:val="28"/>
          <w:lang w:val="en-US"/>
        </w:rPr>
        <w:t>PREOPERATIVE AREA:</w:t>
      </w:r>
    </w:p>
    <w:p w:rsidR="44FD4546" w:rsidP="44FD4546" w:rsidRDefault="44FD4546" w14:paraId="5470BF3B" w14:textId="39DC042A">
      <w:pPr>
        <w:spacing w:before="240" w:beforeAutospacing="off" w:after="240" w:afterAutospacing="off"/>
      </w:pPr>
      <w:r w:rsidRPr="44FD4546" w:rsidR="44FD4546">
        <w:rPr>
          <w:rFonts w:ascii="Arial" w:hAnsi="Arial" w:eastAsia="Arial" w:cs="Arial"/>
          <w:noProof w:val="0"/>
          <w:sz w:val="22"/>
          <w:szCs w:val="22"/>
          <w:lang w:val="en-US"/>
        </w:rPr>
        <w:t>All the risks of injections were discussed in the preoperative area. Risks included, but were not limited to, stroke, paralysis, infection, hematoma formation, spinal fluid leak, and arachnoiditis. The temporary nature of the pain relief was also explained. Alternative conservative care options were discussed, and full informed consent was obtained. The planned procedure site was appropriately marked.</w:t>
      </w:r>
    </w:p>
    <w:p w:rsidR="44FD4546" w:rsidRDefault="44FD4546" w14:paraId="0F3F1CFF" w14:textId="47810FE3"/>
    <w:p w:rsidR="44FD4546" w:rsidP="44FD4546" w:rsidRDefault="44FD4546" w14:paraId="27687B03" w14:textId="770449E4">
      <w:pPr>
        <w:pStyle w:val="Heading3"/>
        <w:spacing w:before="281" w:beforeAutospacing="off" w:after="281" w:afterAutospacing="off"/>
      </w:pPr>
      <w:r w:rsidRPr="44FD4546" w:rsidR="44FD4546">
        <w:rPr>
          <w:rFonts w:ascii="Arial" w:hAnsi="Arial" w:eastAsia="Arial" w:cs="Arial"/>
          <w:b w:val="1"/>
          <w:bCs w:val="1"/>
          <w:noProof w:val="0"/>
          <w:sz w:val="28"/>
          <w:szCs w:val="28"/>
          <w:lang w:val="en-US"/>
        </w:rPr>
        <w:t>OPERATIVE PROCEDURE:</w:t>
      </w:r>
    </w:p>
    <w:p w:rsidR="44FD4546" w:rsidP="44FD4546" w:rsidRDefault="44FD4546" w14:paraId="0D73E294" w14:textId="33E8B562">
      <w:pPr>
        <w:spacing w:before="240" w:beforeAutospacing="off" w:after="240" w:afterAutospacing="off"/>
      </w:pPr>
      <w:r w:rsidRPr="44FD4546" w:rsidR="44FD4546">
        <w:rPr>
          <w:rFonts w:ascii="Arial" w:hAnsi="Arial" w:eastAsia="Arial" w:cs="Arial"/>
          <w:noProof w:val="0"/>
          <w:sz w:val="22"/>
          <w:szCs w:val="22"/>
          <w:lang w:val="en-US"/>
        </w:rPr>
        <w:t>The patient was taken to the operating suite and identified by the head nurse. The patient was positioned prone on a radiolucent table, and all bony prominences were padded. Relevant studies were displayed, and vitals were monitored. Conscious sedation was administered.</w:t>
      </w:r>
    </w:p>
    <w:p w:rsidR="44FD4546" w:rsidP="44FD4546" w:rsidRDefault="44FD4546" w14:paraId="36DB429A" w14:textId="5CB4A3C7">
      <w:pPr>
        <w:spacing w:before="240" w:beforeAutospacing="off" w:after="240" w:afterAutospacing="off"/>
      </w:pPr>
      <w:r w:rsidRPr="44FD4546" w:rsidR="44FD4546">
        <w:rPr>
          <w:rFonts w:ascii="Arial" w:hAnsi="Arial" w:eastAsia="Arial" w:cs="Arial"/>
          <w:noProof w:val="0"/>
          <w:sz w:val="22"/>
          <w:szCs w:val="22"/>
          <w:lang w:val="en-US"/>
        </w:rPr>
        <w:t>The patient was placed in the correct position with fluoroscopy on the right side. The neck was positioned in flexion in a prone view. The patient was prepped and draped in a sterile fashion. A surgical timeout was performed to confirm identification, diagnosis, planned procedure, and allergies.</w:t>
      </w:r>
    </w:p>
    <w:p w:rsidR="44FD4546" w:rsidP="44FD4546" w:rsidRDefault="44FD4546" w14:paraId="082B358E" w14:textId="28133B52">
      <w:pPr>
        <w:spacing w:before="240" w:beforeAutospacing="off" w:after="240" w:afterAutospacing="off"/>
      </w:pPr>
      <w:r w:rsidRPr="44FD4546" w:rsidR="44FD4546">
        <w:rPr>
          <w:rFonts w:ascii="Arial" w:hAnsi="Arial" w:eastAsia="Arial" w:cs="Arial"/>
          <w:noProof w:val="0"/>
          <w:sz w:val="22"/>
          <w:szCs w:val="22"/>
          <w:lang w:val="en-US"/>
        </w:rPr>
        <w:t>Using the C-arm, the middle disc was visualized in AP view, providing a clear view of the cervical facet joints. Contralateral oblique views were also obtained. The right side was addressed first, followed by the left side.</w:t>
      </w:r>
    </w:p>
    <w:p w:rsidR="44FD4546" w:rsidP="44FD4546" w:rsidRDefault="44FD4546" w14:paraId="77280080" w14:textId="4E485643">
      <w:pPr>
        <w:spacing w:before="240" w:beforeAutospacing="off" w:after="240" w:afterAutospacing="off"/>
      </w:pPr>
      <w:r w:rsidRPr="44FD4546" w:rsidR="44FD4546">
        <w:rPr>
          <w:rFonts w:ascii="Arial" w:hAnsi="Arial" w:eastAsia="Arial" w:cs="Arial"/>
          <w:noProof w:val="0"/>
          <w:sz w:val="22"/>
          <w:szCs w:val="22"/>
          <w:lang w:val="en-US"/>
        </w:rPr>
        <w:t>The entry point was determined a few centimeters lateral to the midline using a clamp and C-arm guidance. The skin and cervical fascia overlying the entry point were anesthetized with 2–3 cc of 1% lidocaine. A 25-gauge spinal needle was slowly advanced toward the facet joint until tactile feedback confirmed correct positioning.</w:t>
      </w:r>
    </w:p>
    <w:p w:rsidR="44FD4546" w:rsidP="44FD4546" w:rsidRDefault="44FD4546" w14:paraId="70477BB2" w14:textId="52C82E08">
      <w:pPr>
        <w:spacing w:before="240" w:beforeAutospacing="off" w:after="240" w:afterAutospacing="off"/>
      </w:pPr>
      <w:r w:rsidRPr="44FD4546" w:rsidR="44FD4546">
        <w:rPr>
          <w:rFonts w:ascii="Arial" w:hAnsi="Arial" w:eastAsia="Arial" w:cs="Arial"/>
          <w:noProof w:val="0"/>
          <w:sz w:val="22"/>
          <w:szCs w:val="22"/>
          <w:lang w:val="en-US"/>
        </w:rPr>
        <w:t>Once positioned, 0.5 cc of radiographic dye was injected, confirming no vascular flow, blood, or cerebrospinal fluid on aspiration. Each facet joint and surrounding area were injected with 1 mL of a premixed solution containing:</w:t>
      </w:r>
    </w:p>
    <w:p w:rsidR="44FD4546" w:rsidP="44FD4546" w:rsidRDefault="44FD4546" w14:paraId="31022C78" w14:textId="2C5A9470">
      <w:pPr>
        <w:pStyle w:val="ListParagraph"/>
        <w:numPr>
          <w:ilvl w:val="0"/>
          <w:numId w:val="2"/>
        </w:numPr>
        <w:spacing w:before="0" w:beforeAutospacing="off" w:after="0" w:afterAutospacing="off"/>
        <w:rPr>
          <w:rFonts w:ascii="Arial" w:hAnsi="Arial" w:eastAsia="Arial" w:cs="Arial"/>
          <w:noProof w:val="0"/>
          <w:sz w:val="22"/>
          <w:szCs w:val="22"/>
          <w:lang w:val="en-US"/>
        </w:rPr>
      </w:pPr>
      <w:r w:rsidRPr="44FD4546" w:rsidR="44FD4546">
        <w:rPr>
          <w:rFonts w:ascii="Arial" w:hAnsi="Arial" w:eastAsia="Arial" w:cs="Arial"/>
          <w:noProof w:val="0"/>
          <w:sz w:val="22"/>
          <w:szCs w:val="22"/>
          <w:lang w:val="en-US"/>
        </w:rPr>
        <w:t>1% lidocaine</w:t>
      </w:r>
    </w:p>
    <w:p w:rsidR="44FD4546" w:rsidP="44FD4546" w:rsidRDefault="44FD4546" w14:paraId="099B689C" w14:textId="0EA26092">
      <w:pPr>
        <w:pStyle w:val="ListParagraph"/>
        <w:numPr>
          <w:ilvl w:val="0"/>
          <w:numId w:val="2"/>
        </w:numPr>
        <w:spacing w:before="0" w:beforeAutospacing="off" w:after="0" w:afterAutospacing="off"/>
        <w:rPr>
          <w:rFonts w:ascii="Arial" w:hAnsi="Arial" w:eastAsia="Arial" w:cs="Arial"/>
          <w:noProof w:val="0"/>
          <w:sz w:val="22"/>
          <w:szCs w:val="22"/>
          <w:lang w:val="en-US"/>
        </w:rPr>
      </w:pPr>
      <w:r w:rsidRPr="44FD4546" w:rsidR="44FD4546">
        <w:rPr>
          <w:rFonts w:ascii="Arial" w:hAnsi="Arial" w:eastAsia="Arial" w:cs="Arial"/>
          <w:noProof w:val="0"/>
          <w:sz w:val="22"/>
          <w:szCs w:val="22"/>
          <w:lang w:val="en-US"/>
        </w:rPr>
        <w:t>0.25% Marcaine</w:t>
      </w:r>
    </w:p>
    <w:p w:rsidR="44FD4546" w:rsidP="44FD4546" w:rsidRDefault="44FD4546" w14:paraId="77A7900C" w14:textId="6B37A543">
      <w:pPr>
        <w:pStyle w:val="ListParagraph"/>
        <w:numPr>
          <w:ilvl w:val="0"/>
          <w:numId w:val="2"/>
        </w:numPr>
        <w:spacing w:before="0" w:beforeAutospacing="off" w:after="0" w:afterAutospacing="off"/>
        <w:rPr>
          <w:rFonts w:ascii="Arial" w:hAnsi="Arial" w:eastAsia="Arial" w:cs="Arial"/>
          <w:noProof w:val="0"/>
          <w:sz w:val="22"/>
          <w:szCs w:val="22"/>
          <w:lang w:val="en-US"/>
        </w:rPr>
      </w:pPr>
      <w:r w:rsidRPr="44FD4546" w:rsidR="44FD4546">
        <w:rPr>
          <w:rFonts w:ascii="Arial" w:hAnsi="Arial" w:eastAsia="Arial" w:cs="Arial"/>
          <w:noProof w:val="0"/>
          <w:sz w:val="22"/>
          <w:szCs w:val="22"/>
          <w:lang w:val="en-US"/>
        </w:rPr>
        <w:t>2 mg dexamethasone</w:t>
      </w:r>
    </w:p>
    <w:p w:rsidR="44FD4546" w:rsidP="44FD4546" w:rsidRDefault="44FD4546" w14:paraId="36FFF0B7" w14:textId="2D32D5AC">
      <w:pPr>
        <w:spacing w:before="240" w:beforeAutospacing="off" w:after="240" w:afterAutospacing="off"/>
      </w:pPr>
      <w:r w:rsidRPr="44FD4546" w:rsidR="44FD4546">
        <w:rPr>
          <w:rFonts w:ascii="Arial" w:hAnsi="Arial" w:eastAsia="Arial" w:cs="Arial"/>
          <w:noProof w:val="0"/>
          <w:sz w:val="22"/>
          <w:szCs w:val="22"/>
          <w:lang w:val="en-US"/>
        </w:rPr>
        <w:t>The same procedure was performed on the left side, with oblique fluoroscopic views confirming proper needle placement. No complications were noted during the injections.</w:t>
      </w:r>
    </w:p>
    <w:p w:rsidR="44FD4546" w:rsidP="44FD4546" w:rsidRDefault="44FD4546" w14:paraId="3D3D8524" w14:textId="44411974">
      <w:pPr>
        <w:spacing w:before="240" w:beforeAutospacing="off" w:after="240" w:afterAutospacing="off"/>
      </w:pPr>
      <w:r w:rsidRPr="44FD4546" w:rsidR="44FD4546">
        <w:rPr>
          <w:rFonts w:ascii="Arial" w:hAnsi="Arial" w:eastAsia="Arial" w:cs="Arial"/>
          <w:noProof w:val="0"/>
          <w:sz w:val="22"/>
          <w:szCs w:val="22"/>
          <w:lang w:val="en-US"/>
        </w:rPr>
        <w:t>Pain level decreased from *** to *** following the procedure. The patient moved arms without difficulty, and no radiating pain was noted. The injection sites were clean, dry, and intact.</w:t>
      </w:r>
    </w:p>
    <w:p w:rsidR="44FD4546" w:rsidRDefault="44FD4546" w14:paraId="408FA8B0" w14:textId="6CF5B9D0"/>
    <w:p w:rsidR="44FD4546" w:rsidP="44FD4546" w:rsidRDefault="44FD4546" w14:paraId="3332FB62" w14:textId="292988CE">
      <w:pPr>
        <w:pStyle w:val="Heading3"/>
        <w:spacing w:before="281" w:beforeAutospacing="off" w:after="281" w:afterAutospacing="off"/>
      </w:pPr>
      <w:r w:rsidRPr="44FD4546" w:rsidR="44FD4546">
        <w:rPr>
          <w:rFonts w:ascii="Arial" w:hAnsi="Arial" w:eastAsia="Arial" w:cs="Arial"/>
          <w:b w:val="1"/>
          <w:bCs w:val="1"/>
          <w:noProof w:val="0"/>
          <w:sz w:val="28"/>
          <w:szCs w:val="28"/>
          <w:lang w:val="en-US"/>
        </w:rPr>
        <w:t>POSTOPERATIVE CARE:</w:t>
      </w:r>
    </w:p>
    <w:p w:rsidR="44FD4546" w:rsidP="44FD4546" w:rsidRDefault="44FD4546" w14:paraId="28D10FC5" w14:textId="0137A5CE">
      <w:pPr>
        <w:spacing w:before="240" w:beforeAutospacing="off" w:after="240" w:afterAutospacing="off"/>
      </w:pPr>
      <w:r w:rsidRPr="44FD4546" w:rsidR="44FD4546">
        <w:rPr>
          <w:rFonts w:ascii="Arial" w:hAnsi="Arial" w:eastAsia="Arial" w:cs="Arial"/>
          <w:noProof w:val="0"/>
          <w:sz w:val="22"/>
          <w:szCs w:val="22"/>
          <w:lang w:val="en-US"/>
        </w:rPr>
        <w:t>The patient tolerated the procedure well and was comfortable within 30 minutes. Neurological status remained unchanged. The patient passed urine and was observed for a short period before discharge.</w:t>
      </w:r>
    </w:p>
    <w:p w:rsidR="44FD4546" w:rsidP="44FD4546" w:rsidRDefault="44FD4546" w14:paraId="459B4014" w14:textId="278574C0">
      <w:pPr>
        <w:spacing w:before="240" w:beforeAutospacing="off" w:after="240" w:afterAutospacing="off"/>
      </w:pPr>
      <w:r w:rsidRPr="44FD4546" w:rsidR="44FD4546">
        <w:rPr>
          <w:rFonts w:ascii="Arial" w:hAnsi="Arial" w:eastAsia="Arial" w:cs="Arial"/>
          <w:b w:val="1"/>
          <w:bCs w:val="1"/>
          <w:noProof w:val="0"/>
          <w:sz w:val="22"/>
          <w:szCs w:val="22"/>
          <w:lang w:val="en-US"/>
        </w:rPr>
        <w:t>Discharge Instructions:</w:t>
      </w:r>
    </w:p>
    <w:p w:rsidR="44FD4546" w:rsidP="44FD4546" w:rsidRDefault="44FD4546" w14:paraId="2235BC30" w14:textId="02D5DFB8">
      <w:pPr>
        <w:pStyle w:val="ListParagraph"/>
        <w:numPr>
          <w:ilvl w:val="0"/>
          <w:numId w:val="3"/>
        </w:numPr>
        <w:spacing w:before="0" w:beforeAutospacing="off" w:after="0" w:afterAutospacing="off"/>
        <w:rPr>
          <w:rFonts w:ascii="Arial" w:hAnsi="Arial" w:eastAsia="Arial" w:cs="Arial"/>
          <w:noProof w:val="0"/>
          <w:sz w:val="22"/>
          <w:szCs w:val="22"/>
          <w:lang w:val="en-US"/>
        </w:rPr>
      </w:pPr>
      <w:r w:rsidRPr="44FD4546" w:rsidR="44FD4546">
        <w:rPr>
          <w:rFonts w:ascii="Arial" w:hAnsi="Arial" w:eastAsia="Arial" w:cs="Arial"/>
          <w:noProof w:val="0"/>
          <w:sz w:val="22"/>
          <w:szCs w:val="22"/>
          <w:lang w:val="en-US"/>
        </w:rPr>
        <w:t>Contact the office immediately for any signs of fever, increased pain, tingling, numbness, weakness, or infection.</w:t>
      </w:r>
    </w:p>
    <w:p w:rsidR="44FD4546" w:rsidP="44FD4546" w:rsidRDefault="44FD4546" w14:paraId="680825D9" w14:textId="4C17C78C">
      <w:pPr>
        <w:pStyle w:val="ListParagraph"/>
        <w:numPr>
          <w:ilvl w:val="0"/>
          <w:numId w:val="3"/>
        </w:numPr>
        <w:spacing w:before="0" w:beforeAutospacing="off" w:after="0" w:afterAutospacing="off"/>
        <w:rPr>
          <w:rFonts w:ascii="Arial" w:hAnsi="Arial" w:eastAsia="Arial" w:cs="Arial"/>
          <w:noProof w:val="0"/>
          <w:sz w:val="22"/>
          <w:szCs w:val="22"/>
          <w:lang w:val="en-US"/>
        </w:rPr>
      </w:pPr>
      <w:r w:rsidRPr="44FD4546" w:rsidR="44FD4546">
        <w:rPr>
          <w:rFonts w:ascii="Arial" w:hAnsi="Arial" w:eastAsia="Arial" w:cs="Arial"/>
          <w:noProof w:val="0"/>
          <w:sz w:val="22"/>
          <w:szCs w:val="22"/>
          <w:lang w:val="en-US"/>
        </w:rPr>
        <w:t>Follow up in 1 week.</w:t>
      </w:r>
    </w:p>
    <w:p w:rsidR="44FD4546" w:rsidP="44FD4546" w:rsidRDefault="44FD4546" w14:paraId="01E3D8DB" w14:textId="02BC7254">
      <w:pPr>
        <w:pStyle w:val="ListParagraph"/>
        <w:numPr>
          <w:ilvl w:val="0"/>
          <w:numId w:val="3"/>
        </w:numPr>
        <w:spacing w:before="0" w:beforeAutospacing="off" w:after="0" w:afterAutospacing="off"/>
        <w:rPr>
          <w:rFonts w:ascii="Arial" w:hAnsi="Arial" w:eastAsia="Arial" w:cs="Arial"/>
          <w:noProof w:val="0"/>
          <w:sz w:val="22"/>
          <w:szCs w:val="22"/>
          <w:lang w:val="en-US"/>
        </w:rPr>
      </w:pPr>
      <w:r w:rsidRPr="44FD4546" w:rsidR="44FD4546">
        <w:rPr>
          <w:rFonts w:ascii="Arial" w:hAnsi="Arial" w:eastAsia="Arial" w:cs="Arial"/>
          <w:noProof w:val="0"/>
          <w:sz w:val="22"/>
          <w:szCs w:val="22"/>
          <w:lang w:val="en-US"/>
        </w:rPr>
        <w:t>Maintain a pain diary to track progress.</w:t>
      </w:r>
    </w:p>
    <w:p w:rsidR="44FD4546" w:rsidP="44FD4546" w:rsidRDefault="44FD4546" w14:paraId="4F889FC3" w14:textId="59B81AA8">
      <w:pPr>
        <w:pStyle w:val="ListParagraph"/>
        <w:numPr>
          <w:ilvl w:val="0"/>
          <w:numId w:val="3"/>
        </w:numPr>
        <w:spacing w:before="0" w:beforeAutospacing="off" w:after="0" w:afterAutospacing="off"/>
        <w:rPr>
          <w:rFonts w:ascii="Arial" w:hAnsi="Arial" w:eastAsia="Arial" w:cs="Arial"/>
          <w:noProof w:val="0"/>
          <w:sz w:val="22"/>
          <w:szCs w:val="22"/>
          <w:lang w:val="en-US"/>
        </w:rPr>
      </w:pPr>
      <w:r w:rsidRPr="44FD4546" w:rsidR="44FD4546">
        <w:rPr>
          <w:rFonts w:ascii="Arial" w:hAnsi="Arial" w:eastAsia="Arial" w:cs="Arial"/>
          <w:noProof w:val="0"/>
          <w:sz w:val="22"/>
          <w:szCs w:val="22"/>
          <w:lang w:val="en-US"/>
        </w:rPr>
        <w:t>The patient was ambulatory at discharge and denied complaints.</w:t>
      </w:r>
    </w:p>
    <w:p w:rsidR="44FD4546" w:rsidP="44FD4546" w:rsidRDefault="44FD4546" w14:paraId="08591B6B" w14:textId="2934D15F">
      <w:pPr>
        <w:spacing w:before="240" w:beforeAutospacing="off" w:after="240" w:afterAutospacing="off"/>
      </w:pPr>
      <w:r w:rsidRPr="44FD4546" w:rsidR="44FD4546">
        <w:rPr>
          <w:rFonts w:ascii="Arial" w:hAnsi="Arial" w:eastAsia="Arial" w:cs="Arial"/>
          <w:noProof w:val="0"/>
          <w:sz w:val="22"/>
          <w:szCs w:val="22"/>
          <w:lang w:val="en-US"/>
        </w:rPr>
        <w:t>For any questions or concerns, contact Saint Mary's Hospital Centralia.</w:t>
      </w:r>
    </w:p>
    <w:p w:rsidR="44FD4546" w:rsidP="44FD4546" w:rsidRDefault="44FD4546" w14:paraId="6BCD068B" w14:textId="05D9F84C">
      <w:pPr>
        <w:pStyle w:val="Normal"/>
        <w:rPr>
          <w:rFonts w:ascii="Arial" w:hAnsi="Arial" w:eastAsia="Times New Roman" w:cs="Arial"/>
          <w:color w:val="000000" w:themeColor="text1" w:themeTint="FF" w:themeShade="FF"/>
          <w:sz w:val="22"/>
          <w:szCs w:val="22"/>
        </w:rPr>
      </w:pPr>
    </w:p>
    <w:p w:rsidRPr="00AF0834" w:rsidR="00AF0834" w:rsidP="00AF0834" w:rsidRDefault="00AF0834" w14:paraId="2CE33B4E" w14:textId="77777777">
      <w:pPr>
        <w:spacing w:after="240"/>
        <w:rPr>
          <w:rFonts w:ascii="Times New Roman" w:hAnsi="Times New Roman" w:eastAsia="Times New Roman" w:cs="Times New Roman"/>
        </w:rPr>
      </w:pPr>
      <w:r w:rsidRPr="00AF0834">
        <w:rPr>
          <w:rFonts w:ascii="Times New Roman" w:hAnsi="Times New Roman" w:eastAsia="Times New Roman" w:cs="Times New Roman"/>
        </w:rPr>
        <w:br/>
      </w:r>
    </w:p>
    <w:p w:rsidR="00AF0834" w:rsidRDefault="00AF0834" w14:paraId="618BB257" w14:textId="77777777"/>
    <w:sectPr w:rsidR="00AF083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nsid w:val="650aa9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68335e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711d3e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834"/>
    <w:rsid w:val="00AF0834"/>
    <w:rsid w:val="44FD4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BFE405"/>
  <w15:chartTrackingRefBased/>
  <w15:docId w15:val="{F49B91A1-2137-3743-92CC-A9F4E486B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F0834"/>
    <w:pPr>
      <w:keepNext/>
      <w:keepLines/>
      <w:spacing w:before="24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AF0834"/>
    <w:pPr>
      <w:spacing w:before="100" w:beforeAutospacing="1" w:after="100" w:afterAutospacing="1"/>
    </w:pPr>
    <w:rPr>
      <w:rFonts w:ascii="Times New Roman" w:hAnsi="Times New Roman" w:eastAsia="Times New Roman" w:cs="Times New Roman"/>
    </w:rPr>
  </w:style>
  <w:style w:type="character" w:styleId="Heading1Char" w:customStyle="1">
    <w:name w:val="Heading 1 Char"/>
    <w:basedOn w:val="DefaultParagraphFont"/>
    <w:link w:val="Heading1"/>
    <w:uiPriority w:val="9"/>
    <w:rsid w:val="00AF0834"/>
    <w:rPr>
      <w:rFonts w:asciiTheme="majorHAnsi" w:hAnsiTheme="majorHAnsi" w:eastAsiaTheme="majorEastAsia" w:cstheme="majorBidi"/>
      <w:color w:val="2F5496" w:themeColor="accent1" w:themeShade="BF"/>
      <w:sz w:val="32"/>
      <w:szCs w:val="32"/>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76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06ad597efb2d43e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amit bhandarkar</dc:creator>
  <keywords/>
  <dc:description/>
  <lastModifiedBy>M Naik</lastModifiedBy>
  <revision>2</revision>
  <dcterms:created xsi:type="dcterms:W3CDTF">2022-09-04T05:20:00.0000000Z</dcterms:created>
  <dcterms:modified xsi:type="dcterms:W3CDTF">2025-01-06T00:27:14.0988838Z</dcterms:modified>
</coreProperties>
</file>